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329010AB" w:rsidR="006A7DF4" w:rsidRPr="002B0006"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433114DC" w:rsidR="006A7DF4" w:rsidRDefault="006566BD" w:rsidP="006566BD">
                            <w:pPr>
                              <w:pStyle w:val="Contedodoquadro"/>
                              <w:spacing w:before="1" w:line="276" w:lineRule="auto"/>
                              <w:ind w:left="3521" w:right="529" w:hanging="2773"/>
                              <w:jc w:val="center"/>
                              <w:rPr>
                                <w:b/>
                                <w:sz w:val="24"/>
                              </w:rPr>
                            </w:pPr>
                            <w:r w:rsidRPr="006566BD">
                              <w:rPr>
                                <w:b/>
                                <w:bCs/>
                                <w:color w:val="00000A"/>
                              </w:rPr>
                              <w:t>REFORMA DA BIBLIOTECA PÚBLICA DE ITAJAÍ</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433114DC" w:rsidR="006A7DF4" w:rsidRDefault="006566BD" w:rsidP="006566BD">
                      <w:pPr>
                        <w:pStyle w:val="Contedodoquadro"/>
                        <w:spacing w:before="1" w:line="276" w:lineRule="auto"/>
                        <w:ind w:left="3521" w:right="529" w:hanging="2773"/>
                        <w:jc w:val="center"/>
                        <w:rPr>
                          <w:b/>
                          <w:sz w:val="24"/>
                        </w:rPr>
                      </w:pPr>
                      <w:r w:rsidRPr="006566BD">
                        <w:rPr>
                          <w:b/>
                          <w:bCs/>
                          <w:color w:val="00000A"/>
                        </w:rPr>
                        <w:t>REFORMA DA BIBLIOTECA PÚBLICA DE ITAJAÍ</w:t>
                      </w:r>
                    </w:p>
                  </w:txbxContent>
                </v:textbox>
                <w10:anchorlock/>
              </v:shape>
            </w:pict>
          </mc:Fallback>
        </mc:AlternateContent>
      </w: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Pr="00073175" w:rsidRDefault="003E5B91" w:rsidP="00662115">
      <w:pPr>
        <w:spacing w:before="10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FB2751">
        <w:trPr>
          <w:trHeight w:hRule="exact" w:val="340"/>
        </w:trPr>
        <w:tc>
          <w:tcPr>
            <w:tcW w:w="1451" w:type="dxa"/>
            <w:shd w:val="clear" w:color="auto" w:fill="auto"/>
            <w:vAlign w:val="center"/>
          </w:tcPr>
          <w:p w14:paraId="113FC12F" w14:textId="5065C5EC" w:rsidR="00073175" w:rsidRPr="00073175" w:rsidRDefault="00073175" w:rsidP="00073175">
            <w:pPr>
              <w:pStyle w:val="TableParagraph"/>
              <w:spacing w:before="10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3CCF5233" w:rsidR="00073175" w:rsidRPr="00073175" w:rsidRDefault="00073175" w:rsidP="00073175">
            <w:pPr>
              <w:pStyle w:val="TableParagraph"/>
              <w:spacing w:before="100" w:line="276" w:lineRule="auto"/>
              <w:ind w:left="-146" w:firstLine="426"/>
              <w:jc w:val="both"/>
              <w:rPr>
                <w:sz w:val="20"/>
                <w:szCs w:val="20"/>
              </w:rPr>
            </w:pPr>
            <w:r w:rsidRPr="00073175">
              <w:rPr>
                <w:rFonts w:eastAsia="Lucida Sans Unicode"/>
                <w:sz w:val="20"/>
                <w:szCs w:val="20"/>
              </w:rPr>
              <w:t>RE</w:t>
            </w:r>
            <w:r>
              <w:rPr>
                <w:rFonts w:eastAsia="Lucida Sans Unicode"/>
                <w:sz w:val="20"/>
                <w:szCs w:val="20"/>
              </w:rPr>
              <w:t>FORMA</w:t>
            </w:r>
            <w:r w:rsidRPr="00073175">
              <w:rPr>
                <w:rFonts w:eastAsia="Lucida Sans Unicode"/>
                <w:sz w:val="20"/>
                <w:szCs w:val="20"/>
              </w:rPr>
              <w:t xml:space="preserve"> DA </w:t>
            </w:r>
            <w:bookmarkStart w:id="0" w:name="_Hlk77779356"/>
            <w:r w:rsidRPr="00073175">
              <w:rPr>
                <w:rFonts w:eastAsia="Lucida Sans Unicode"/>
                <w:sz w:val="20"/>
                <w:szCs w:val="20"/>
              </w:rPr>
              <w:t>BIBLIOTECA PÚBLICA DE ITAJAÍ</w:t>
            </w:r>
            <w:bookmarkEnd w:id="0"/>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073175">
            <w:pPr>
              <w:pStyle w:val="TableParagraph"/>
              <w:spacing w:before="10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79825B2C" w:rsidR="00073175" w:rsidRPr="00073175" w:rsidRDefault="00073175" w:rsidP="00073175">
            <w:pPr>
              <w:pStyle w:val="TableParagraph"/>
              <w:spacing w:before="100" w:line="276" w:lineRule="auto"/>
              <w:ind w:left="-146" w:firstLine="426"/>
              <w:jc w:val="both"/>
              <w:rPr>
                <w:sz w:val="20"/>
                <w:szCs w:val="20"/>
              </w:rPr>
            </w:pPr>
            <w:r w:rsidRPr="00073175">
              <w:rPr>
                <w:rFonts w:eastAsia="Lucida Sans Unicode"/>
                <w:sz w:val="20"/>
                <w:szCs w:val="20"/>
              </w:rPr>
              <w:t>R. HEITOR LIBERATO, 1100 - SÃO JOÃO, ITAJAÍ - SC</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1C6A88D4" w14:textId="77777777" w:rsidR="00E410E8" w:rsidRPr="00E410E8" w:rsidRDefault="00E410E8" w:rsidP="00E410E8">
      <w:pPr>
        <w:spacing w:before="100" w:line="276" w:lineRule="auto"/>
        <w:ind w:firstLine="426"/>
        <w:jc w:val="both"/>
        <w:rPr>
          <w:color w:val="000000"/>
          <w:sz w:val="20"/>
          <w:szCs w:val="20"/>
        </w:rPr>
      </w:pPr>
      <w:r w:rsidRPr="00E410E8">
        <w:rPr>
          <w:color w:val="000000"/>
          <w:sz w:val="20"/>
          <w:szCs w:val="20"/>
        </w:rPr>
        <w:t xml:space="preserve">O edifício onde está instalado a Biblioteca Pública de Itajaí está desgastado pelo tempo, e por se tratar de uma edificação antiga, com valor histórico e tombada, foram apontadas questões em sua estrutura física que superam a manutenção preventiva. </w:t>
      </w:r>
    </w:p>
    <w:p w14:paraId="3E0FE211" w14:textId="77777777" w:rsidR="00E410E8" w:rsidRPr="00E410E8" w:rsidRDefault="00E410E8" w:rsidP="00E410E8">
      <w:pPr>
        <w:spacing w:before="100" w:line="276" w:lineRule="auto"/>
        <w:ind w:firstLine="426"/>
        <w:jc w:val="both"/>
        <w:rPr>
          <w:color w:val="000000"/>
          <w:sz w:val="20"/>
          <w:szCs w:val="20"/>
        </w:rPr>
      </w:pPr>
      <w:r w:rsidRPr="00E410E8">
        <w:rPr>
          <w:color w:val="000000"/>
          <w:sz w:val="20"/>
          <w:szCs w:val="20"/>
        </w:rPr>
        <w:t>Essas irregularidades estão associadas, na maior parte das vezes, a soluções pontuadas como corretivas, incluindo as técnicas construtivas e os matérias aplicados.</w:t>
      </w:r>
    </w:p>
    <w:p w14:paraId="026070BC" w14:textId="77777777" w:rsidR="00E410E8" w:rsidRPr="00E410E8" w:rsidRDefault="00E410E8" w:rsidP="00E410E8">
      <w:pPr>
        <w:spacing w:before="100" w:line="276" w:lineRule="auto"/>
        <w:ind w:firstLine="426"/>
        <w:jc w:val="both"/>
        <w:rPr>
          <w:color w:val="000000"/>
          <w:sz w:val="20"/>
          <w:szCs w:val="20"/>
        </w:rPr>
      </w:pPr>
      <w:r w:rsidRPr="00E410E8">
        <w:rPr>
          <w:color w:val="000000"/>
          <w:sz w:val="20"/>
          <w:szCs w:val="20"/>
        </w:rPr>
        <w:t>Trata-se necessário a recuperação da cobertura com a substituição do talhamento pelo mesmo material e suas características, revisão e restauro das esquadrias de madeira e pintura externa entre os pontos mais críticos. Ambos os itens estão de acordo como o apresentado pelo RELATÓRIO DE VISITA TÉCNICA  referente a Comunicação Interna 105/2021 – PGM.</w:t>
      </w:r>
    </w:p>
    <w:p w14:paraId="48D18582" w14:textId="77777777" w:rsidR="00E410E8" w:rsidRPr="00E410E8" w:rsidRDefault="00E410E8" w:rsidP="00E410E8">
      <w:pPr>
        <w:spacing w:before="100" w:line="276" w:lineRule="auto"/>
        <w:ind w:firstLine="426"/>
        <w:jc w:val="both"/>
        <w:rPr>
          <w:color w:val="000000"/>
          <w:sz w:val="20"/>
          <w:szCs w:val="20"/>
        </w:rPr>
      </w:pPr>
      <w:r w:rsidRPr="00E410E8">
        <w:rPr>
          <w:color w:val="000000"/>
          <w:sz w:val="20"/>
          <w:szCs w:val="20"/>
        </w:rPr>
        <w:t>O Projeto de Restauração e Adaptação do imóvel compreende o conjunto de elementos necessários e suficientes para execução das ações destinadas a preservar e prolongar o tempo de vida útil da edificação, englobando não apenas sua restauração, mas também a adaptação da edificação em relação as exigências do PPCI e a Norma 9050.</w:t>
      </w:r>
    </w:p>
    <w:p w14:paraId="31338133" w14:textId="28FBA253" w:rsidR="006A7DF4" w:rsidRPr="002B0006" w:rsidRDefault="00E410E8" w:rsidP="00E410E8">
      <w:pPr>
        <w:spacing w:before="100" w:line="276" w:lineRule="auto"/>
        <w:ind w:firstLine="426"/>
        <w:jc w:val="both"/>
        <w:rPr>
          <w:sz w:val="20"/>
          <w:szCs w:val="20"/>
        </w:rPr>
      </w:pPr>
      <w:r w:rsidRPr="00E410E8">
        <w:rPr>
          <w:color w:val="000000"/>
          <w:sz w:val="20"/>
          <w:szCs w:val="20"/>
        </w:rPr>
        <w:t>Acredita-se que, a partir da efetiva execução deste projeto de Restauração e Adaptação, o Imóvel será preservado, mantendo seu uso (compatível com suas características físicas e construtivas) e terá seu tempo de vida útil prolongado. A obra contribuirá ainda para a revitalização da região urbana onde se insere e, para o resgate da memória urbana da cidade.</w:t>
      </w:r>
      <w:r w:rsidR="003E5B91"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407E44D7" w:rsidR="005902AE" w:rsidRPr="005902AE" w:rsidRDefault="00384BFF"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r w:rsidRPr="00384BFF">
        <w:rPr>
          <w:b/>
          <w:color w:val="000009"/>
          <w:sz w:val="28"/>
          <w:szCs w:val="28"/>
        </w:rPr>
        <w:t xml:space="preserve">REFORMA DA </w:t>
      </w:r>
      <w:r w:rsidR="00073175">
        <w:rPr>
          <w:b/>
          <w:color w:val="000009"/>
          <w:sz w:val="28"/>
          <w:szCs w:val="28"/>
        </w:rPr>
        <w:t>BIBLIOTECA PÚBLICA DE ITAJAÍ</w:t>
      </w:r>
    </w:p>
    <w:p w14:paraId="651D87A2" w14:textId="77777777" w:rsidR="005902AE" w:rsidRDefault="005902AE" w:rsidP="00662115">
      <w:pPr>
        <w:tabs>
          <w:tab w:val="left" w:pos="1153"/>
        </w:tabs>
        <w:spacing w:line="276" w:lineRule="auto"/>
        <w:ind w:firstLine="426"/>
        <w:jc w:val="center"/>
        <w:rPr>
          <w:color w:val="000009"/>
          <w:sz w:val="20"/>
          <w:szCs w:val="20"/>
        </w:rPr>
      </w:pPr>
    </w:p>
    <w:p w14:paraId="37BEC3B5" w14:textId="77777777" w:rsidR="00557846" w:rsidRDefault="00557846" w:rsidP="00662115">
      <w:pPr>
        <w:tabs>
          <w:tab w:val="left" w:pos="1153"/>
        </w:tabs>
        <w:spacing w:line="276" w:lineRule="auto"/>
        <w:ind w:firstLine="426"/>
        <w:jc w:val="center"/>
        <w:rPr>
          <w:color w:val="000009"/>
          <w:sz w:val="20"/>
          <w:szCs w:val="20"/>
        </w:rPr>
      </w:pPr>
    </w:p>
    <w:p w14:paraId="2C66BB2A" w14:textId="77777777" w:rsidR="00557846" w:rsidRDefault="00557846" w:rsidP="00662115">
      <w:pPr>
        <w:tabs>
          <w:tab w:val="left" w:pos="1153"/>
        </w:tabs>
        <w:spacing w:line="276" w:lineRule="auto"/>
        <w:ind w:firstLine="426"/>
        <w:jc w:val="center"/>
        <w:rPr>
          <w:color w:val="000009"/>
          <w:sz w:val="20"/>
          <w:szCs w:val="20"/>
        </w:rPr>
      </w:pPr>
    </w:p>
    <w:p w14:paraId="7C270DE0" w14:textId="77777777" w:rsidR="00557846" w:rsidRDefault="00557846"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lastRenderedPageBreak/>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7777777" w:rsidR="006A7DF4" w:rsidRPr="002B0006"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0A6C0667"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6566BD">
        <w:rPr>
          <w:b/>
          <w:color w:val="000009"/>
          <w:sz w:val="20"/>
          <w:szCs w:val="20"/>
        </w:rPr>
        <w:t xml:space="preserve">901.566,71 </w:t>
      </w:r>
      <w:r w:rsidRPr="00E2069D">
        <w:rPr>
          <w:color w:val="000009"/>
          <w:sz w:val="20"/>
          <w:szCs w:val="20"/>
        </w:rPr>
        <w:t>(</w:t>
      </w:r>
      <w:r w:rsidR="006566BD">
        <w:rPr>
          <w:color w:val="000009"/>
          <w:sz w:val="20"/>
          <w:szCs w:val="20"/>
        </w:rPr>
        <w:t xml:space="preserve">novecentos e um mil, quinhetos e sessenta e seis reais e </w:t>
      </w:r>
      <w:r w:rsidR="00384BFF">
        <w:rPr>
          <w:color w:val="000009"/>
          <w:sz w:val="20"/>
          <w:szCs w:val="20"/>
        </w:rPr>
        <w:t>setenta</w:t>
      </w:r>
      <w:r w:rsidR="006566BD">
        <w:rPr>
          <w:color w:val="000009"/>
          <w:sz w:val="20"/>
          <w:szCs w:val="20"/>
        </w:rPr>
        <w:t xml:space="preserve"> e um</w:t>
      </w:r>
      <w:r w:rsidR="003658BD">
        <w:rPr>
          <w:color w:val="000009"/>
          <w:sz w:val="20"/>
          <w:szCs w:val="20"/>
        </w:rPr>
        <w:t xml:space="preserve"> centavo</w:t>
      </w:r>
      <w:r w:rsidRPr="00E2069D">
        <w:rPr>
          <w:color w:val="000009"/>
          <w:sz w:val="20"/>
          <w:szCs w:val="20"/>
        </w:rPr>
        <w:t>s), os quais correrão por conta de parte do exercício orçamentário do ano de 2021 (</w:t>
      </w:r>
      <w:r>
        <w:rPr>
          <w:color w:val="000009"/>
          <w:sz w:val="20"/>
          <w:szCs w:val="20"/>
        </w:rPr>
        <w:t xml:space="preserve">R$ </w:t>
      </w:r>
      <w:r w:rsidR="00384BFF" w:rsidRPr="00384BFF">
        <w:rPr>
          <w:color w:val="000009"/>
          <w:sz w:val="20"/>
          <w:szCs w:val="20"/>
        </w:rPr>
        <w:t>3</w:t>
      </w:r>
      <w:r w:rsidR="006566BD">
        <w:rPr>
          <w:color w:val="000009"/>
          <w:sz w:val="20"/>
          <w:szCs w:val="20"/>
        </w:rPr>
        <w:t>23</w:t>
      </w:r>
      <w:r w:rsidR="00384BFF" w:rsidRPr="00384BFF">
        <w:rPr>
          <w:color w:val="000009"/>
          <w:sz w:val="20"/>
          <w:szCs w:val="20"/>
        </w:rPr>
        <w:t>.</w:t>
      </w:r>
      <w:r w:rsidR="006566BD">
        <w:rPr>
          <w:color w:val="000009"/>
          <w:sz w:val="20"/>
          <w:szCs w:val="20"/>
        </w:rPr>
        <w:t>483,16</w:t>
      </w:r>
      <w:r>
        <w:rPr>
          <w:color w:val="000009"/>
          <w:sz w:val="20"/>
          <w:szCs w:val="20"/>
        </w:rPr>
        <w:t>)</w:t>
      </w:r>
      <w:r w:rsidRPr="00E2069D">
        <w:rPr>
          <w:color w:val="000009"/>
          <w:sz w:val="20"/>
          <w:szCs w:val="20"/>
        </w:rPr>
        <w:t xml:space="preserve"> e saldo para o exercicio 2022,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14C3F7E" w14:textId="77777777" w:rsidR="00557846" w:rsidRDefault="00557846" w:rsidP="00662115">
      <w:pPr>
        <w:pStyle w:val="Corpodetexto"/>
        <w:spacing w:line="276" w:lineRule="auto"/>
        <w:ind w:firstLine="426"/>
        <w:jc w:val="both"/>
      </w:pPr>
    </w:p>
    <w:p w14:paraId="652C74A7" w14:textId="77777777" w:rsidR="00557846" w:rsidRDefault="00557846" w:rsidP="00662115">
      <w:pPr>
        <w:pStyle w:val="Corpodetexto"/>
        <w:spacing w:line="276" w:lineRule="auto"/>
        <w:ind w:firstLine="426"/>
        <w:jc w:val="both"/>
      </w:pPr>
    </w:p>
    <w:p w14:paraId="75840721" w14:textId="77777777" w:rsidR="00557846" w:rsidRDefault="00557846" w:rsidP="00662115">
      <w:pPr>
        <w:pStyle w:val="Corpodetexto"/>
        <w:spacing w:line="276" w:lineRule="auto"/>
        <w:ind w:firstLine="426"/>
        <w:jc w:val="both"/>
      </w:pPr>
    </w:p>
    <w:p w14:paraId="651267D6" w14:textId="77777777" w:rsidR="00557846" w:rsidRDefault="00557846"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F23E9B6"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 xml:space="preserve">ou   Conselho   Regional   de   Engenharia   e   Agronomia   (CREA)   </w:t>
      </w:r>
      <w:r w:rsidR="00557846">
        <w:rPr>
          <w:sz w:val="20"/>
          <w:szCs w:val="20"/>
        </w:rPr>
        <w:t>do responsável técnico pela</w:t>
      </w:r>
      <w:r w:rsidRPr="002B0006">
        <w:rPr>
          <w:sz w:val="20"/>
          <w:szCs w:val="20"/>
        </w:rPr>
        <w:t xml:space="preserve">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21DF48BF"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 xml:space="preserve">Comprovação de vínculo empregatício </w:t>
      </w:r>
      <w:r w:rsidR="00557846">
        <w:rPr>
          <w:sz w:val="20"/>
          <w:szCs w:val="20"/>
        </w:rPr>
        <w:t>do</w:t>
      </w:r>
      <w:r w:rsidRPr="00F45F07">
        <w:rPr>
          <w:sz w:val="20"/>
          <w:szCs w:val="20"/>
        </w:rPr>
        <w:t xml:space="preserve"> profissional.</w:t>
      </w:r>
    </w:p>
    <w:p w14:paraId="39E5A27A" w14:textId="20992F6A"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Capacidade Operacional</w:t>
      </w:r>
      <w:bookmarkStart w:id="1" w:name="_GoBack"/>
      <w:bookmarkEnd w:id="1"/>
      <w:r w:rsidRPr="002B0006">
        <w:rPr>
          <w:b/>
          <w:sz w:val="20"/>
          <w:szCs w:val="20"/>
        </w:rPr>
        <w:t xml:space="preserve"> (pessoa jurídica):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7A8F8942" w:rsidR="00F45F07" w:rsidRPr="0037460C" w:rsidRDefault="00D123AC" w:rsidP="00840BE1">
            <w:pPr>
              <w:pStyle w:val="TableParagraph"/>
              <w:numPr>
                <w:ilvl w:val="0"/>
                <w:numId w:val="23"/>
              </w:numPr>
              <w:spacing w:before="100" w:line="276" w:lineRule="auto"/>
              <w:ind w:right="273"/>
              <w:jc w:val="both"/>
              <w:rPr>
                <w:b/>
                <w:color w:val="000009"/>
                <w:sz w:val="20"/>
                <w:szCs w:val="20"/>
              </w:rPr>
            </w:pPr>
            <w:r>
              <w:rPr>
                <w:b/>
                <w:color w:val="000009"/>
                <w:sz w:val="20"/>
                <w:szCs w:val="20"/>
              </w:rPr>
              <w:t>R</w:t>
            </w:r>
            <w:r w:rsidR="00F45F07" w:rsidRPr="0037460C">
              <w:rPr>
                <w:b/>
                <w:color w:val="000009"/>
                <w:sz w:val="20"/>
                <w:szCs w:val="20"/>
              </w:rPr>
              <w:t>eforma</w:t>
            </w:r>
            <w:r>
              <w:rPr>
                <w:b/>
                <w:color w:val="000009"/>
                <w:sz w:val="20"/>
                <w:szCs w:val="20"/>
              </w:rPr>
              <w:t>/restauro</w:t>
            </w:r>
            <w:r w:rsidR="00F45F07" w:rsidRPr="0037460C">
              <w:rPr>
                <w:b/>
                <w:color w:val="000009"/>
                <w:sz w:val="20"/>
                <w:szCs w:val="20"/>
              </w:rPr>
              <w:t xml:space="preserve"> de Edificação</w:t>
            </w:r>
            <w:r>
              <w:rPr>
                <w:b/>
                <w:color w:val="000009"/>
                <w:sz w:val="20"/>
                <w:szCs w:val="20"/>
              </w:rPr>
              <w:t xml:space="preserve"> de Patrimonio histórico ou similar</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4EF6993" w:rsidR="00F45F07" w:rsidRPr="0037460C" w:rsidRDefault="006566BD" w:rsidP="0037460C">
            <w:pPr>
              <w:pStyle w:val="TableParagraph"/>
              <w:spacing w:before="100" w:line="276" w:lineRule="auto"/>
              <w:ind w:left="0" w:firstLine="426"/>
              <w:jc w:val="both"/>
              <w:rPr>
                <w:b/>
                <w:color w:val="000009"/>
                <w:sz w:val="20"/>
                <w:szCs w:val="20"/>
              </w:rPr>
            </w:pPr>
            <w:r>
              <w:rPr>
                <w:b/>
                <w:color w:val="000009"/>
                <w:sz w:val="20"/>
                <w:szCs w:val="20"/>
              </w:rPr>
              <w:t>392</w:t>
            </w:r>
            <w:r w:rsidR="00F45F07" w:rsidRPr="0037460C">
              <w:rPr>
                <w:b/>
                <w:color w:val="000009"/>
                <w:sz w:val="20"/>
                <w:szCs w:val="20"/>
              </w:rPr>
              <w:t xml:space="preserve"> m²</w:t>
            </w:r>
          </w:p>
        </w:tc>
      </w:tr>
      <w:tr w:rsidR="006566BD" w:rsidRPr="0037460C" w14:paraId="67E2AB7D" w14:textId="77777777" w:rsidTr="00840BE1">
        <w:trPr>
          <w:gridAfter w:val="1"/>
          <w:wAfter w:w="11" w:type="dxa"/>
          <w:trHeight w:val="43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1C9252" w14:textId="7A3F4CFC" w:rsidR="006566BD" w:rsidRPr="0037460C" w:rsidRDefault="006566BD" w:rsidP="00840BE1">
            <w:pPr>
              <w:pStyle w:val="TableParagraph"/>
              <w:numPr>
                <w:ilvl w:val="0"/>
                <w:numId w:val="23"/>
              </w:numPr>
              <w:spacing w:before="100" w:line="276" w:lineRule="auto"/>
              <w:jc w:val="both"/>
              <w:rPr>
                <w:b/>
                <w:color w:val="000009"/>
                <w:sz w:val="20"/>
                <w:szCs w:val="20"/>
              </w:rPr>
            </w:pPr>
            <w:r>
              <w:rPr>
                <w:b/>
                <w:color w:val="000009"/>
                <w:sz w:val="20"/>
                <w:szCs w:val="20"/>
              </w:rPr>
              <w:t>Execução ou reforma de cobertura cerâmica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3261AE6" w14:textId="4F7F7408" w:rsidR="006566BD" w:rsidRDefault="00457333" w:rsidP="0037460C">
            <w:pPr>
              <w:pStyle w:val="TableParagraph"/>
              <w:spacing w:before="100" w:line="276" w:lineRule="auto"/>
              <w:ind w:left="0" w:firstLine="426"/>
              <w:jc w:val="both"/>
              <w:rPr>
                <w:b/>
                <w:color w:val="000009"/>
                <w:sz w:val="20"/>
                <w:szCs w:val="20"/>
              </w:rPr>
            </w:pPr>
            <w:r>
              <w:rPr>
                <w:b/>
                <w:color w:val="000009"/>
                <w:sz w:val="20"/>
                <w:szCs w:val="20"/>
              </w:rPr>
              <w:t>430 m²</w:t>
            </w:r>
          </w:p>
        </w:tc>
      </w:tr>
      <w:tr w:rsidR="00457333" w:rsidRPr="0037460C" w14:paraId="2EBBC3C4" w14:textId="77777777" w:rsidTr="00840BE1">
        <w:trPr>
          <w:gridAfter w:val="1"/>
          <w:wAfter w:w="11" w:type="dxa"/>
          <w:trHeight w:val="399"/>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9A24E9" w14:textId="0F5FA4C3" w:rsidR="00457333" w:rsidRDefault="00457333" w:rsidP="00840BE1">
            <w:pPr>
              <w:pStyle w:val="TableParagraph"/>
              <w:numPr>
                <w:ilvl w:val="0"/>
                <w:numId w:val="23"/>
              </w:numPr>
              <w:spacing w:before="100" w:line="276" w:lineRule="auto"/>
              <w:jc w:val="both"/>
              <w:rPr>
                <w:b/>
                <w:color w:val="000009"/>
                <w:sz w:val="20"/>
                <w:szCs w:val="20"/>
              </w:rPr>
            </w:pPr>
            <w:r>
              <w:rPr>
                <w:b/>
                <w:color w:val="000009"/>
                <w:sz w:val="20"/>
                <w:szCs w:val="20"/>
              </w:rPr>
              <w:t>Execução de sistema preventivo de incêndio</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86D58F" w14:textId="28A36622" w:rsidR="00457333" w:rsidRDefault="00457333" w:rsidP="0037460C">
            <w:pPr>
              <w:pStyle w:val="TableParagraph"/>
              <w:spacing w:before="100" w:line="276" w:lineRule="auto"/>
              <w:ind w:left="0" w:firstLine="426"/>
              <w:jc w:val="both"/>
              <w:rPr>
                <w:b/>
                <w:color w:val="000009"/>
                <w:sz w:val="20"/>
                <w:szCs w:val="20"/>
              </w:rPr>
            </w:pPr>
            <w:r>
              <w:rPr>
                <w:b/>
                <w:color w:val="000009"/>
                <w:sz w:val="20"/>
                <w:szCs w:val="20"/>
              </w:rPr>
              <w:t>392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77777777"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CAT(s), devendo ser acompanhada(s) das respectivas RRT/ART(s) em caso de necessidade de complementação de informações.</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Os itens e a quantidade mínima para comprovar a Capacidade Operacional foram adotados levando em consideração os serviços de maior relevância financeira e de maior complexidade </w:t>
      </w:r>
      <w:r w:rsidRPr="002B0006">
        <w:rPr>
          <w:sz w:val="20"/>
          <w:szCs w:val="20"/>
        </w:rPr>
        <w:lastRenderedPageBreak/>
        <w:t>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457333">
      <w:pPr>
        <w:pStyle w:val="PargrafodaLista"/>
        <w:tabs>
          <w:tab w:val="left" w:pos="1154"/>
        </w:tabs>
        <w:spacing w:before="10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B42DB9">
            <w:pPr>
              <w:pStyle w:val="TableParagraph"/>
              <w:spacing w:before="10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77377C8F" w:rsidR="00457333" w:rsidRDefault="00457333" w:rsidP="00457333">
            <w:pPr>
              <w:pStyle w:val="TableParagraph"/>
              <w:spacing w:before="100" w:line="276" w:lineRule="auto"/>
              <w:jc w:val="center"/>
              <w:rPr>
                <w:b/>
                <w:color w:val="000009"/>
                <w:sz w:val="20"/>
                <w:szCs w:val="20"/>
              </w:rPr>
            </w:pPr>
            <w:r>
              <w:rPr>
                <w:b/>
                <w:color w:val="000009"/>
                <w:sz w:val="20"/>
                <w:szCs w:val="20"/>
              </w:rPr>
              <w:t>Execução de reforma, restauro ou preservação de patrimonio histórico ou edificação similar</w:t>
            </w:r>
          </w:p>
        </w:tc>
      </w:tr>
    </w:tbl>
    <w:p w14:paraId="271F0643" w14:textId="77777777" w:rsidR="00457333" w:rsidRDefault="00457333" w:rsidP="00457333">
      <w:pPr>
        <w:pStyle w:val="PargrafodaLista"/>
        <w:tabs>
          <w:tab w:val="left" w:pos="1418"/>
        </w:tabs>
        <w:spacing w:before="100"/>
        <w:ind w:left="426"/>
        <w:rPr>
          <w:sz w:val="20"/>
          <w:szCs w:val="20"/>
        </w:rPr>
      </w:pPr>
    </w:p>
    <w:p w14:paraId="76CE9C29" w14:textId="26B27429"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527098B5"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 xml:space="preserve">Não será permitido apresentar comprovação de vínculo de um mesmo profissional em mais de uma licitante, </w:t>
      </w:r>
      <w:proofErr w:type="gramStart"/>
      <w:r w:rsidRPr="002B0006">
        <w:rPr>
          <w:sz w:val="20"/>
          <w:szCs w:val="20"/>
        </w:rPr>
        <w:t>sob pena</w:t>
      </w:r>
      <w:proofErr w:type="gramEnd"/>
      <w:r w:rsidRPr="002B0006">
        <w:rPr>
          <w:sz w:val="20"/>
          <w:szCs w:val="20"/>
        </w:rPr>
        <w:t xml:space="preserve"> de inabilitação de ambas.</w:t>
      </w:r>
    </w:p>
    <w:p w14:paraId="6FAA7007" w14:textId="77777777" w:rsidR="00457333" w:rsidRPr="002B0006" w:rsidRDefault="00457333" w:rsidP="00457333">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lastRenderedPageBreak/>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lastRenderedPageBreak/>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firstRow="1" w:lastRow="1" w:firstColumn="1" w:lastColumn="1" w:noHBand="0" w:noVBand="0"/>
      </w:tblPr>
      <w:tblGrid>
        <w:gridCol w:w="5665"/>
        <w:gridCol w:w="1977"/>
      </w:tblGrid>
      <w:tr w:rsidR="006A7DF4" w:rsidRPr="0037460C" w14:paraId="2F6789B9" w14:textId="77777777"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7F7EADCD" w:rsidR="006A7DF4" w:rsidRPr="0037460C" w:rsidRDefault="00457333" w:rsidP="00384BFF">
            <w:pPr>
              <w:pStyle w:val="TableParagraph"/>
              <w:spacing w:before="100" w:line="276" w:lineRule="auto"/>
              <w:ind w:left="0" w:firstLine="426"/>
              <w:jc w:val="center"/>
              <w:rPr>
                <w:b/>
                <w:sz w:val="20"/>
                <w:szCs w:val="20"/>
              </w:rPr>
            </w:pPr>
            <w:r w:rsidRPr="00457333">
              <w:rPr>
                <w:b/>
                <w:color w:val="000009"/>
                <w:sz w:val="20"/>
                <w:szCs w:val="20"/>
              </w:rPr>
              <w:t>REFORMA DA BIBLIOTECA PÚBLICA DE ITAJAÍ</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67CC3EA1"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457333">
              <w:rPr>
                <w:b/>
                <w:color w:val="000009"/>
                <w:sz w:val="20"/>
                <w:szCs w:val="20"/>
              </w:rPr>
              <w:t>901</w:t>
            </w:r>
            <w:r w:rsidR="003658BD" w:rsidRPr="003658BD">
              <w:rPr>
                <w:b/>
                <w:color w:val="000009"/>
                <w:sz w:val="20"/>
                <w:szCs w:val="20"/>
              </w:rPr>
              <w:t>.</w:t>
            </w:r>
            <w:r w:rsidR="00D123AC">
              <w:rPr>
                <w:b/>
                <w:color w:val="000009"/>
                <w:sz w:val="20"/>
                <w:szCs w:val="20"/>
              </w:rPr>
              <w:t>566,71</w:t>
            </w:r>
          </w:p>
        </w:tc>
      </w:tr>
    </w:tbl>
    <w:p w14:paraId="1DEAA0CC" w14:textId="36ED7AE3" w:rsidR="006A7DF4" w:rsidRPr="002B0006" w:rsidRDefault="00370610" w:rsidP="00662115">
      <w:pPr>
        <w:pStyle w:val="PargrafodaLista"/>
        <w:numPr>
          <w:ilvl w:val="1"/>
          <w:numId w:val="10"/>
        </w:numPr>
        <w:tabs>
          <w:tab w:val="left" w:pos="993"/>
        </w:tabs>
        <w:spacing w:before="100" w:line="276" w:lineRule="auto"/>
        <w:ind w:left="0" w:firstLine="426"/>
        <w:rPr>
          <w:sz w:val="20"/>
          <w:szCs w:val="20"/>
        </w:rPr>
      </w:pPr>
      <w:r>
        <w:rPr>
          <w:noProof/>
          <w:lang w:val="pt-BR" w:eastAsia="pt-BR"/>
        </w:rPr>
        <mc:AlternateContent>
          <mc:Choice Requires="wps">
            <w:drawing>
              <wp:anchor distT="0" distB="0" distL="114300" distR="114300" simplePos="0" relativeHeight="251657216" behindDoc="1" locked="0" layoutInCell="0" allowOverlap="1" wp14:anchorId="4BFC07D7" wp14:editId="192EE3FF">
                <wp:simplePos x="0" y="0"/>
                <wp:positionH relativeFrom="page">
                  <wp:posOffset>5314950</wp:posOffset>
                </wp:positionH>
                <wp:positionV relativeFrom="paragraph">
                  <wp:posOffset>-509905</wp:posOffset>
                </wp:positionV>
                <wp:extent cx="1539875" cy="412115"/>
                <wp:effectExtent l="0" t="0" r="0" b="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9875" cy="412115"/>
                        </a:xfrm>
                        <a:prstGeom prst="rect">
                          <a:avLst/>
                        </a:prstGeom>
                        <a:solidFill>
                          <a:srgbClr val="FFFFFF"/>
                        </a:solidFill>
                        <a:ln w="0">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36785" id="Retângulo 12" o:spid="_x0000_s1026" style="position:absolute;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mc:Fallback>
        </mc:AlternateContent>
      </w:r>
      <w:r w:rsidR="003E5B91"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lastRenderedPageBreak/>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7611CB87"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3658BD" w:rsidRPr="003658BD">
        <w:rPr>
          <w:b/>
          <w:bCs/>
          <w:color w:val="000009"/>
          <w:sz w:val="20"/>
          <w:szCs w:val="20"/>
        </w:rPr>
        <w:t>1</w:t>
      </w:r>
      <w:r w:rsidR="00D123AC">
        <w:rPr>
          <w:b/>
          <w:bCs/>
          <w:color w:val="000009"/>
          <w:sz w:val="20"/>
          <w:szCs w:val="20"/>
        </w:rPr>
        <w:t>5</w:t>
      </w:r>
      <w:r w:rsidR="003658BD" w:rsidRPr="003658BD">
        <w:rPr>
          <w:b/>
          <w:bCs/>
          <w:color w:val="000009"/>
          <w:sz w:val="20"/>
          <w:szCs w:val="20"/>
        </w:rPr>
        <w:t>0</w:t>
      </w:r>
      <w:r w:rsidRPr="002B0006">
        <w:rPr>
          <w:b/>
          <w:color w:val="000009"/>
          <w:sz w:val="20"/>
          <w:szCs w:val="20"/>
        </w:rPr>
        <w:t xml:space="preserve"> (</w:t>
      </w:r>
      <w:r w:rsidR="003658BD">
        <w:rPr>
          <w:b/>
          <w:color w:val="000009"/>
          <w:sz w:val="20"/>
          <w:szCs w:val="20"/>
        </w:rPr>
        <w:t>Cento e</w:t>
      </w:r>
      <w:r w:rsidR="00D123AC">
        <w:rPr>
          <w:b/>
          <w:color w:val="000009"/>
          <w:sz w:val="20"/>
          <w:szCs w:val="20"/>
        </w:rPr>
        <w:t xml:space="preserve"> cinquenta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7AB1A167"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3658BD" w:rsidRPr="003658BD">
        <w:rPr>
          <w:b/>
          <w:bCs/>
          <w:color w:val="000009"/>
          <w:sz w:val="20"/>
          <w:szCs w:val="20"/>
        </w:rPr>
        <w:t>2</w:t>
      </w:r>
      <w:r w:rsidR="00D123AC">
        <w:rPr>
          <w:b/>
          <w:bCs/>
          <w:color w:val="000009"/>
          <w:sz w:val="20"/>
          <w:szCs w:val="20"/>
        </w:rPr>
        <w:t>1</w:t>
      </w:r>
      <w:r w:rsidR="003658BD" w:rsidRPr="003658BD">
        <w:rPr>
          <w:b/>
          <w:bCs/>
          <w:color w:val="000009"/>
          <w:sz w:val="20"/>
          <w:szCs w:val="20"/>
        </w:rPr>
        <w:t>0</w:t>
      </w:r>
      <w:r w:rsidRPr="002B0006">
        <w:rPr>
          <w:b/>
          <w:color w:val="000009"/>
          <w:sz w:val="20"/>
          <w:szCs w:val="20"/>
        </w:rPr>
        <w:t xml:space="preserve"> (</w:t>
      </w:r>
      <w:r w:rsidR="003658BD">
        <w:rPr>
          <w:b/>
          <w:color w:val="000009"/>
          <w:sz w:val="20"/>
          <w:szCs w:val="20"/>
        </w:rPr>
        <w:t xml:space="preserve">Duzentos e </w:t>
      </w:r>
      <w:r w:rsidR="00D123AC">
        <w:rPr>
          <w:b/>
          <w:color w:val="000009"/>
          <w:sz w:val="20"/>
          <w:szCs w:val="20"/>
        </w:rPr>
        <w:t>dez</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 xml:space="preserve">Deverão ser observadas pela licitante vencedora, todas as condições de segurança e higiene, </w:t>
      </w:r>
      <w:r w:rsidRPr="002B0006">
        <w:rPr>
          <w:color w:val="000009"/>
          <w:sz w:val="20"/>
          <w:szCs w:val="20"/>
        </w:rPr>
        <w:lastRenderedPageBreak/>
        <w:t>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lastRenderedPageBreak/>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3CAA1637" w:rsidR="006A7DF4" w:rsidRPr="002B0006" w:rsidRDefault="003E5B91" w:rsidP="00662115">
      <w:pPr>
        <w:pStyle w:val="Corpodetexto"/>
        <w:spacing w:before="100" w:line="276" w:lineRule="auto"/>
        <w:ind w:firstLine="426"/>
        <w:jc w:val="both"/>
      </w:pPr>
      <w:r w:rsidRPr="002B0006">
        <w:rPr>
          <w:color w:val="000009"/>
        </w:rPr>
        <w:t xml:space="preserve">Itajaí, </w:t>
      </w:r>
      <w:r w:rsidR="00384BFF">
        <w:rPr>
          <w:color w:val="000009"/>
        </w:rPr>
        <w:t>1</w:t>
      </w:r>
      <w:r w:rsidR="00D123AC">
        <w:rPr>
          <w:color w:val="000009"/>
        </w:rPr>
        <w:t>4</w:t>
      </w:r>
      <w:r w:rsidRPr="002B0006">
        <w:rPr>
          <w:color w:val="000009"/>
        </w:rPr>
        <w:t xml:space="preserve"> de </w:t>
      </w:r>
      <w:r w:rsidR="00384BFF">
        <w:rPr>
          <w:color w:val="000009"/>
        </w:rPr>
        <w:t>s</w:t>
      </w:r>
      <w:r w:rsidR="00D123AC">
        <w:rPr>
          <w:color w:val="000009"/>
        </w:rPr>
        <w:t>e</w:t>
      </w:r>
      <w:r w:rsidR="00384BFF">
        <w:rPr>
          <w:color w:val="000009"/>
        </w:rPr>
        <w:t>tembro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59DA6" w14:textId="77777777" w:rsidR="005E1170" w:rsidRDefault="005E1170">
      <w:r>
        <w:separator/>
      </w:r>
    </w:p>
  </w:endnote>
  <w:endnote w:type="continuationSeparator" w:id="0">
    <w:p w14:paraId="28C3F80D" w14:textId="77777777" w:rsidR="005E1170" w:rsidRDefault="005E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5E1170">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396D55">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08F9E" w14:textId="77777777" w:rsidR="005E1170" w:rsidRDefault="005E1170">
      <w:r>
        <w:separator/>
      </w:r>
    </w:p>
  </w:footnote>
  <w:footnote w:type="continuationSeparator" w:id="0">
    <w:p w14:paraId="02AA609C" w14:textId="77777777" w:rsidR="005E1170" w:rsidRDefault="005E1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81A31"/>
    <w:rsid w:val="002B0006"/>
    <w:rsid w:val="002B7413"/>
    <w:rsid w:val="003658BD"/>
    <w:rsid w:val="00370610"/>
    <w:rsid w:val="0037460C"/>
    <w:rsid w:val="00384BFF"/>
    <w:rsid w:val="00396D55"/>
    <w:rsid w:val="003E5B91"/>
    <w:rsid w:val="00457333"/>
    <w:rsid w:val="00557846"/>
    <w:rsid w:val="005902AE"/>
    <w:rsid w:val="00592A8C"/>
    <w:rsid w:val="005E1170"/>
    <w:rsid w:val="00652E6E"/>
    <w:rsid w:val="006566BD"/>
    <w:rsid w:val="00662115"/>
    <w:rsid w:val="006753E6"/>
    <w:rsid w:val="006A7DF4"/>
    <w:rsid w:val="00712415"/>
    <w:rsid w:val="00713B81"/>
    <w:rsid w:val="00715BD1"/>
    <w:rsid w:val="007F3A5A"/>
    <w:rsid w:val="00840BE1"/>
    <w:rsid w:val="008F43F3"/>
    <w:rsid w:val="009A0EE9"/>
    <w:rsid w:val="009B4784"/>
    <w:rsid w:val="00B47087"/>
    <w:rsid w:val="00BE6A54"/>
    <w:rsid w:val="00C107A8"/>
    <w:rsid w:val="00C85419"/>
    <w:rsid w:val="00D123AC"/>
    <w:rsid w:val="00DB64A6"/>
    <w:rsid w:val="00E2069D"/>
    <w:rsid w:val="00E410E8"/>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44571-4940-4929-BF85-D7B7BDE0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10</Pages>
  <Words>4158</Words>
  <Characters>22459</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26564</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12</cp:revision>
  <cp:lastPrinted>2021-09-14T17:48:00Z</cp:lastPrinted>
  <dcterms:created xsi:type="dcterms:W3CDTF">2021-07-23T21:54:00Z</dcterms:created>
  <dcterms:modified xsi:type="dcterms:W3CDTF">2021-10-04T11:36:00Z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